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/>
        </w:rPr>
      </w:pPr>
    </w:p>
    <w:p>
      <w:pPr>
        <w:spacing w:line="560" w:lineRule="atLeas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落实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《关于进一步规范财务审计秩序、促进</w:t>
      </w:r>
    </w:p>
    <w:p>
      <w:pPr>
        <w:spacing w:line="560" w:lineRule="atLeas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注册会计师行业健康发展的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实施意见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》</w:t>
      </w:r>
    </w:p>
    <w:p>
      <w:pPr>
        <w:spacing w:line="560" w:lineRule="atLeas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若干措施</w:t>
      </w:r>
    </w:p>
    <w:p>
      <w:pPr>
        <w:spacing w:line="560" w:lineRule="atLeast"/>
        <w:ind w:left="1598" w:leftChars="304" w:hanging="960" w:hangingChars="300"/>
        <w:rPr>
          <w:rFonts w:ascii="仿宋" w:hAnsi="仿宋" w:eastAsia="仿宋" w:cs="仿宋"/>
          <w:sz w:val="32"/>
          <w:szCs w:val="32"/>
        </w:rPr>
      </w:pPr>
    </w:p>
    <w:bookmarkEnd w:id="0"/>
    <w:p>
      <w:pPr>
        <w:spacing w:line="560" w:lineRule="atLeas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国办发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30号文和《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海南省财政厅等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印发&lt;关于进一步规范财务审计秩序、促进注册会计师行业健康发展的实施意见&gt;的通知》（琼财会〔2022〕221号）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要求，切实履行行业协会职责，现就加强和推进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注册会计师行业监管，规范财务审计秩序，促进行业健康发展提出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下措施。</w:t>
      </w:r>
    </w:p>
    <w:p>
      <w:pPr>
        <w:numPr>
          <w:ilvl w:val="0"/>
          <w:numId w:val="0"/>
        </w:numPr>
        <w:spacing w:line="560" w:lineRule="atLeast"/>
        <w:ind w:left="0"/>
        <w:outlineLvl w:val="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 一、加强行业自律,提高监管效能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（一）强化日常监管。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优化“五年为一周期”的会计师事务所执业质量检查制度，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持续推进系统风险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全覆盖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,严肃查处违法违规行为,重点检查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会计师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事务所低价恶性竞争、注册会计师兼职挂名、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超出胜任能力执业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等突出问题；充分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运用业务报备数据，发布执业风险提示,建立事前预警监控、事中事后强化监管机制。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（责任单位：省注协）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（二）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推广使用</w:t>
      </w:r>
      <w:r>
        <w:rPr>
          <w:rStyle w:val="6"/>
          <w:rFonts w:hint="eastAsia" w:ascii="楷体" w:hAnsi="楷体" w:eastAsia="楷体" w:cs="楷体"/>
          <w:b/>
          <w:bCs/>
          <w:color w:val="auto"/>
          <w:sz w:val="32"/>
          <w:szCs w:val="32"/>
          <w:lang w:val="zh-TW"/>
        </w:rPr>
        <w:t>统一监管信息平台</w:t>
      </w:r>
      <w:r>
        <w:rPr>
          <w:rStyle w:val="6"/>
          <w:rFonts w:hint="eastAsia" w:ascii="楷体" w:hAnsi="楷体" w:eastAsia="楷体" w:cs="楷体"/>
          <w:b/>
          <w:bCs/>
          <w:color w:val="auto"/>
          <w:sz w:val="32"/>
          <w:szCs w:val="32"/>
          <w:lang w:val="zh-TW" w:eastAsia="zh-CN"/>
        </w:rPr>
        <w:t>。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TW" w:eastAsia="zh-CN"/>
        </w:rPr>
        <w:t>统一业务办理入口和业务办理规则，建立与省财政厅监督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检查与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TW" w:eastAsia="zh-CN"/>
        </w:rPr>
        <w:t>内审局、会计处协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作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TW" w:eastAsia="zh-CN"/>
        </w:rPr>
        <w:t>配合的工作机制；推行审计报告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数据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TW" w:eastAsia="zh-CN"/>
        </w:rPr>
        <w:t>单一来源全国“一码通”,从源头上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杜绝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zh-TW" w:eastAsia="zh-CN"/>
        </w:rPr>
        <w:t>虚假审计报告，打击“无证经营”行为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畅通投诉举报渠道，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配合中国注册会计师协会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建立行业统一的举报受理平台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完善投诉举报办理机制；依法依规共享和公开相关信息,强化信用管理。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（责任单位：省注协，配合单位：各会计师事务所）</w:t>
      </w:r>
    </w:p>
    <w:p>
      <w:pPr>
        <w:pStyle w:val="2"/>
        <w:numPr>
          <w:ilvl w:val="0"/>
          <w:numId w:val="0"/>
        </w:numPr>
        <w:spacing w:line="240" w:lineRule="auto"/>
        <w:ind w:left="0" w:firstLine="642" w:firstLineChars="0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（三）建立协同监管机制。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与省财政厅监督检查与内审局、会计处开展联合检查,共享资源成果,促进行政与行业自律监管协同；与海南证监局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共享互通监管信息、联合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专题培训、课题研究、警示教育，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建立跨部门监管协作长效机制；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实行会计师事务所重大事项报告制度。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（牵头单位：省注协）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atLeas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二、提升服务质量，增强行业凝聚力</w:t>
      </w:r>
    </w:p>
    <w:p>
      <w:pPr>
        <w:numPr>
          <w:ilvl w:val="0"/>
          <w:numId w:val="0"/>
        </w:numPr>
        <w:spacing w:line="560" w:lineRule="atLeast"/>
        <w:ind w:left="0" w:firstLine="0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（四）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推行“零跑腿”会员服务体系。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简化会员服务申报材料和办理流程，推行会员入会、注册、转所、转会、年检等事项“零跑腿”办理，打造“一站式”会员服务体系。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（责任单位：省注协）</w:t>
      </w:r>
    </w:p>
    <w:p>
      <w:pPr>
        <w:numPr>
          <w:ilvl w:val="0"/>
          <w:numId w:val="0"/>
        </w:numPr>
        <w:spacing w:line="240" w:lineRule="auto"/>
        <w:ind w:left="0" w:firstLine="643" w:firstLineChars="200"/>
        <w:jc w:val="left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（五）搭建电子函证+审计软件“双平台”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搭建省级电子函证平台，推进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银行函证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和企业函证数据化，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遏制财务造假、防范审计风险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;推广和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使用成熟的审计产品，搭建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中小会计师事务所审计软件平台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提高会计师事务所审计质量和工作效率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（责任单位：省注协，配合单位：各会计师事务所）</w:t>
      </w:r>
    </w:p>
    <w:p>
      <w:pPr>
        <w:numPr>
          <w:ilvl w:val="0"/>
          <w:numId w:val="0"/>
        </w:numPr>
        <w:spacing w:line="560" w:lineRule="atLeast"/>
        <w:ind w:left="0" w:firstLine="0" w:firstLineChars="0"/>
        <w:jc w:val="left"/>
        <w:outlineLvl w:val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（六）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完善会计师事务所综合评价体系。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修订会计师事务所综合评价办法，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完善评价指标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建立业务贡献、战略定位、执业质量、人才素质、企业文化等多维度的评价体系，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推进形成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以质量为导向的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会计师事务所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市场选聘机制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（责任单位：省注协）</w:t>
      </w:r>
    </w:p>
    <w:p>
      <w:pPr>
        <w:numPr>
          <w:ilvl w:val="0"/>
          <w:numId w:val="0"/>
        </w:numPr>
        <w:spacing w:line="560" w:lineRule="atLeast"/>
        <w:ind w:left="0" w:firstLine="0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（七）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制定行业服务收费指引。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建立健全与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注册会计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职责定位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行业特点相适应的服务收费管理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机制，研究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制定行业收费指引，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引导行业服务收费公平、合理、有序，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从源头上治理行业不正当低价竞争。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（责任单位：省注协，配合单位：各会计师事务所）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atLeast"/>
        <w:ind w:left="0" w:firstLine="0" w:firstLineChars="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（八）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编制《中小企业审计工作底稿指引》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根据中国注册会计师协会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《审计工作底稿编制指南》,编制发布《中小企业审计工作底稿指引》，指导中小会计师事务所规范工作底稿管理和审计程序,提高应对财务舞弊的能力。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（责任单位：省注协，配合单位：相关会计师事务所）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atLeast"/>
        <w:ind w:left="0" w:leftChars="0" w:firstLine="0" w:firstLineChars="0"/>
        <w:jc w:val="left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  （九）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推行职业责任保险集中投保。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加强职业责任保险和职业风险基金计提情况监督，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探索推行会计师事务所职业责任保险集中投保，着力解决会计师事务所投保贵、保障低、理赔难等问题，切实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提升会计师事务所风险承担能力。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（责任单位：省注协，配合单位：各会计师事务所）</w:t>
      </w:r>
    </w:p>
    <w:p>
      <w:pPr>
        <w:numPr>
          <w:ilvl w:val="0"/>
          <w:numId w:val="0"/>
        </w:numPr>
        <w:spacing w:line="560" w:lineRule="atLeast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    三、加强党建引领，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促进行业健康发展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/>
        </w:rPr>
        <w:t xml:space="preserve"> （十）</w:t>
      </w:r>
      <w:r>
        <w:rPr>
          <w:rFonts w:hint="eastAsia" w:ascii="楷体" w:hAnsi="楷体" w:eastAsia="楷体" w:cs="楷体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/>
        </w:rPr>
        <w:t>推动“党建入章”。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修订《海南省注册会计师协会章程》，在章程中明确行业应建立党组织；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指导会计师事务所把党建工作要求写入章程或合伙协议，发挥党建引领带动作用，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行业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发展正确方向。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（责任单位：省注协，配合单位：各会计师事务所）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240" w:lineRule="auto"/>
        <w:ind w:left="0" w:lef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（十一）拓展高端人才培养通道。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与北京、江苏、浙江等发达地区注协联合举办培训班，大力培养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财税金融型、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数字化审计型、战略规划型高端人才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与ACCA、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CPA Australia等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国际会计组织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提供科目免考、考试补贴等优惠政策，降低我省注册会计师考取国际会计职业资格门槛。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（责任单位：省注协，配合单位：相关会计师事务所）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ind w:left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    （十二）建立“结对帮扶”机制。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引导大型会计师事务所与小型会计师事务所“结对子”，为小型会计师事务所提供执业质量、内部治理等帮扶指导；因地制宜推进会计师事务所培训资源互补，共享师资授课、业务培训、审计报告底稿模版等，促进提升行业整体实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（责任单位：省注协，配合单位：各会计师事务所）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560" w:lineRule="atLeast"/>
        <w:ind w:left="0" w:leftChars="0" w:firstLine="0" w:firstLineChars="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（十三）</w:t>
      </w:r>
      <w:r>
        <w:rPr>
          <w:rFonts w:hint="eastAsia" w:ascii="楷体" w:hAnsi="楷体" w:eastAsia="楷体" w:cs="楷体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培育本省大型会计师事务所</w:t>
      </w:r>
      <w:r>
        <w:rPr>
          <w:rFonts w:hint="eastAsia" w:ascii="楷体" w:hAnsi="楷体" w:eastAsia="楷体" w:cs="楷体"/>
          <w:b/>
          <w:bCs/>
          <w:color w:val="333333"/>
          <w:kern w:val="2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充分利用《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海南经济特区注册会计师条例》的优惠政策，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培育1至2家本省大型会计师事务所，提升自贸港现代专业服务核心竞争力。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（责任单位：省注协，配合单位：相关会计师事务所）</w:t>
      </w:r>
    </w:p>
    <w:p>
      <w:pPr>
        <w:widowControl/>
        <w:numPr>
          <w:ilvl w:val="0"/>
          <w:numId w:val="0"/>
        </w:numPr>
        <w:spacing w:line="560" w:lineRule="atLeast"/>
        <w:ind w:left="0"/>
        <w:jc w:val="left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（十四）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建立健全工资集体协商机制。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完善以行业最低工资标准、行业工资调整幅度为核心的工资集体协商,逐步扩大到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五险一金、技能培训、医疗互助、健康体检、绩效奖励等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薪酬激励机制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构建薪酬分配合理、劳资关系和谐的良好氛围，促进行业健康发展。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（责任单位：省注协，配合单位：各会计师事务所）</w:t>
      </w:r>
    </w:p>
    <w:p/>
    <w:p>
      <w:pPr>
        <w:pStyle w:val="2"/>
      </w:pPr>
    </w:p>
    <w:p/>
    <w:p>
      <w:pPr>
        <w:spacing w:line="560" w:lineRule="atLeas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pStyle w:val="2"/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31C6"/>
    <w:rsid w:val="02F06C90"/>
    <w:rsid w:val="0379792C"/>
    <w:rsid w:val="047777E0"/>
    <w:rsid w:val="04D0555F"/>
    <w:rsid w:val="071450BA"/>
    <w:rsid w:val="0AB52D8D"/>
    <w:rsid w:val="0B9D1470"/>
    <w:rsid w:val="0BF25E10"/>
    <w:rsid w:val="0CC673D2"/>
    <w:rsid w:val="0E3168ED"/>
    <w:rsid w:val="0EA92351"/>
    <w:rsid w:val="11A7381B"/>
    <w:rsid w:val="127B5B0B"/>
    <w:rsid w:val="16896B9F"/>
    <w:rsid w:val="17C77DDB"/>
    <w:rsid w:val="1AE75439"/>
    <w:rsid w:val="1BA01876"/>
    <w:rsid w:val="1DB92BAD"/>
    <w:rsid w:val="1E8838EE"/>
    <w:rsid w:val="1ECC25E5"/>
    <w:rsid w:val="20BB38CD"/>
    <w:rsid w:val="272E1867"/>
    <w:rsid w:val="29D631C4"/>
    <w:rsid w:val="2CD25FE8"/>
    <w:rsid w:val="2D136BD8"/>
    <w:rsid w:val="2D5A52D8"/>
    <w:rsid w:val="2D641403"/>
    <w:rsid w:val="2EF63C6F"/>
    <w:rsid w:val="310706E4"/>
    <w:rsid w:val="312B46A6"/>
    <w:rsid w:val="3B5D3867"/>
    <w:rsid w:val="3E5F3060"/>
    <w:rsid w:val="3F9E0A0B"/>
    <w:rsid w:val="41167CA8"/>
    <w:rsid w:val="41D747FC"/>
    <w:rsid w:val="481E154C"/>
    <w:rsid w:val="48EC16F2"/>
    <w:rsid w:val="49841E11"/>
    <w:rsid w:val="4C6E0E7C"/>
    <w:rsid w:val="4F0556B6"/>
    <w:rsid w:val="52755F07"/>
    <w:rsid w:val="52B45241"/>
    <w:rsid w:val="579A30D8"/>
    <w:rsid w:val="58E14ADD"/>
    <w:rsid w:val="5A120B5E"/>
    <w:rsid w:val="5AD70AD8"/>
    <w:rsid w:val="5EFA5FD0"/>
    <w:rsid w:val="5F0E78C1"/>
    <w:rsid w:val="60C226FA"/>
    <w:rsid w:val="60E6238A"/>
    <w:rsid w:val="61AA280C"/>
    <w:rsid w:val="638D5F9A"/>
    <w:rsid w:val="63EB31C6"/>
    <w:rsid w:val="65886D11"/>
    <w:rsid w:val="66ED6122"/>
    <w:rsid w:val="697657BA"/>
    <w:rsid w:val="69D15DD3"/>
    <w:rsid w:val="69D417EB"/>
    <w:rsid w:val="69E25E4A"/>
    <w:rsid w:val="6B10586B"/>
    <w:rsid w:val="6B7F70F7"/>
    <w:rsid w:val="6BD62136"/>
    <w:rsid w:val="722B09A3"/>
    <w:rsid w:val="72A1404D"/>
    <w:rsid w:val="731A42B5"/>
    <w:rsid w:val="74F97FF0"/>
    <w:rsid w:val="752B53DC"/>
    <w:rsid w:val="77D96995"/>
    <w:rsid w:val="77E76D98"/>
    <w:rsid w:val="7A232E9A"/>
    <w:rsid w:val="7A72127D"/>
    <w:rsid w:val="7FE5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无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2022-08-03T02:35:00Z</dcterms:created>
  <dc:creator>WPS_1226182533</dc:creator>
  <cp:lastModifiedBy>WPS_1226182533</cp:lastModifiedBy>
  <dcterms:modified xsi:type="dcterms:W3CDTF">2022-08-03T02:38:05Z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86EF260C4D154C4C97BD59CEA557AE55</vt:lpwstr>
  </property>
</Properties>
</file>